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43" w:rsidRDefault="00F64D43" w:rsidP="00941CF1">
      <w:pPr>
        <w:rPr>
          <w:rFonts w:ascii="Arial" w:hAnsi="Arial" w:cs="Arial"/>
          <w:b/>
          <w:sz w:val="22"/>
          <w:szCs w:val="22"/>
        </w:rPr>
      </w:pPr>
    </w:p>
    <w:p w:rsidR="00F64D43" w:rsidRDefault="00F64D43" w:rsidP="00941CF1">
      <w:pPr>
        <w:rPr>
          <w:rFonts w:ascii="Arial" w:hAnsi="Arial" w:cs="Arial"/>
          <w:b/>
          <w:sz w:val="22"/>
          <w:szCs w:val="22"/>
        </w:rPr>
      </w:pPr>
    </w:p>
    <w:p w:rsidR="00F64D43" w:rsidRPr="00F64D43" w:rsidRDefault="00F64D43" w:rsidP="00F64D43">
      <w:pPr>
        <w:jc w:val="center"/>
        <w:rPr>
          <w:rFonts w:ascii="Arial" w:hAnsi="Arial" w:cs="Arial"/>
          <w:b/>
          <w:sz w:val="28"/>
          <w:szCs w:val="28"/>
        </w:rPr>
      </w:pPr>
      <w:r w:rsidRPr="00F64D43">
        <w:rPr>
          <w:rFonts w:ascii="Arial" w:hAnsi="Arial" w:cs="Arial"/>
          <w:b/>
          <w:sz w:val="28"/>
          <w:szCs w:val="28"/>
        </w:rPr>
        <w:t>[</w:t>
      </w:r>
      <w:r w:rsidRPr="00FC1953">
        <w:rPr>
          <w:rFonts w:ascii="Arial" w:hAnsi="Arial" w:cs="Arial"/>
          <w:b/>
          <w:sz w:val="28"/>
          <w:szCs w:val="28"/>
        </w:rPr>
        <w:t>Program Name</w:t>
      </w:r>
      <w:r w:rsidRPr="00F64D43">
        <w:rPr>
          <w:rFonts w:ascii="Arial" w:hAnsi="Arial" w:cs="Arial"/>
          <w:b/>
          <w:sz w:val="28"/>
          <w:szCs w:val="28"/>
        </w:rPr>
        <w:t>]</w:t>
      </w:r>
    </w:p>
    <w:p w:rsidR="00F64D43" w:rsidRDefault="00F64D43" w:rsidP="00941CF1">
      <w:pPr>
        <w:rPr>
          <w:rFonts w:ascii="Arial" w:hAnsi="Arial" w:cs="Arial"/>
          <w:b/>
          <w:sz w:val="22"/>
          <w:szCs w:val="22"/>
        </w:rPr>
      </w:pPr>
    </w:p>
    <w:p w:rsidR="00941CF1" w:rsidRPr="00C1000C" w:rsidRDefault="00941CF1" w:rsidP="00941CF1">
      <w:pPr>
        <w:rPr>
          <w:rFonts w:ascii="Arial" w:hAnsi="Arial" w:cs="Arial"/>
          <w:b/>
          <w:sz w:val="22"/>
          <w:szCs w:val="22"/>
        </w:rPr>
      </w:pPr>
      <w:r w:rsidRPr="00C1000C">
        <w:rPr>
          <w:rFonts w:ascii="Arial" w:hAnsi="Arial" w:cs="Arial"/>
          <w:b/>
          <w:sz w:val="22"/>
          <w:szCs w:val="22"/>
        </w:rPr>
        <w:t>TABLE 15-1: FACULTY SUFFICIENCY AND QUALIFICATIONS SUMMARY FOR THE MOST RECENTLY COMPLETED NORMAL ACADEMIC YEAR (RE: Standards 5 and 15)</w:t>
      </w:r>
      <w:r w:rsidRPr="00C1000C">
        <w:rPr>
          <w:rFonts w:ascii="Arial" w:hAnsi="Arial" w:cs="Arial"/>
          <w:b/>
          <w:sz w:val="22"/>
          <w:szCs w:val="22"/>
          <w:vertAlign w:val="superscript"/>
        </w:rPr>
        <w:t>1</w:t>
      </w:r>
    </w:p>
    <w:p w:rsidR="00941CF1" w:rsidRPr="00CF2E51" w:rsidRDefault="00941CF1" w:rsidP="00941CF1">
      <w:pPr>
        <w:rPr>
          <w:rFonts w:ascii="Arial" w:hAnsi="Arial" w:cs="Arial"/>
          <w:b/>
          <w:sz w:val="22"/>
          <w:szCs w:val="22"/>
        </w:rPr>
      </w:pPr>
    </w:p>
    <w:tbl>
      <w:tblPr>
        <w:tblStyle w:val="TableGrid"/>
        <w:tblW w:w="13140" w:type="dxa"/>
        <w:tblInd w:w="-5" w:type="dxa"/>
        <w:tblBorders>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2160"/>
        <w:gridCol w:w="1080"/>
        <w:gridCol w:w="1260"/>
        <w:gridCol w:w="810"/>
        <w:gridCol w:w="810"/>
        <w:gridCol w:w="720"/>
        <w:gridCol w:w="810"/>
        <w:gridCol w:w="810"/>
        <w:gridCol w:w="810"/>
        <w:gridCol w:w="810"/>
        <w:gridCol w:w="630"/>
        <w:gridCol w:w="2430"/>
      </w:tblGrid>
      <w:tr w:rsidR="00941CF1" w:rsidRPr="00CF2E51" w:rsidTr="004A05F9">
        <w:trPr>
          <w:trHeight w:val="63"/>
        </w:trPr>
        <w:tc>
          <w:tcPr>
            <w:tcW w:w="4500" w:type="dxa"/>
            <w:gridSpan w:val="3"/>
            <w:tcBorders>
              <w:top w:val="single" w:sz="4" w:space="0" w:color="auto"/>
              <w:left w:val="single" w:sz="4" w:space="0" w:color="auto"/>
              <w:bottom w:val="single" w:sz="4" w:space="0" w:color="auto"/>
            </w:tcBorders>
            <w:shd w:val="clear" w:color="auto" w:fill="auto"/>
            <w:vAlign w:val="center"/>
          </w:tcPr>
          <w:p w:rsidR="00941CF1" w:rsidRPr="00CF2E51" w:rsidRDefault="00941CF1" w:rsidP="00FC5224">
            <w:pPr>
              <w:ind w:left="52"/>
              <w:jc w:val="center"/>
              <w:rPr>
                <w:rFonts w:ascii="Arial" w:hAnsi="Arial" w:cs="Arial"/>
                <w:b/>
                <w:sz w:val="22"/>
                <w:szCs w:val="22"/>
              </w:rPr>
            </w:pPr>
            <w:r w:rsidRPr="00CF2E51">
              <w:rPr>
                <w:rFonts w:ascii="Arial" w:hAnsi="Arial" w:cs="Arial"/>
                <w:b/>
                <w:sz w:val="22"/>
                <w:szCs w:val="22"/>
              </w:rPr>
              <w:t>Faculty Portfolio</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CF1" w:rsidRPr="00CF2E51" w:rsidRDefault="00941CF1" w:rsidP="00FC5224">
            <w:pPr>
              <w:jc w:val="center"/>
              <w:rPr>
                <w:rFonts w:ascii="Arial" w:hAnsi="Arial" w:cs="Arial"/>
                <w:b/>
                <w:sz w:val="22"/>
                <w:szCs w:val="22"/>
              </w:rPr>
            </w:pPr>
            <w:r w:rsidRPr="00CF2E51">
              <w:rPr>
                <w:rFonts w:ascii="Arial" w:hAnsi="Arial" w:cs="Arial"/>
                <w:b/>
                <w:sz w:val="22"/>
                <w:szCs w:val="22"/>
              </w:rPr>
              <w:t>Faculty   Sufficiency</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41CF1" w:rsidRPr="00CF2E51" w:rsidRDefault="00941CF1" w:rsidP="00FC5224">
            <w:pPr>
              <w:ind w:left="113" w:right="113"/>
              <w:jc w:val="center"/>
              <w:rPr>
                <w:rFonts w:ascii="Arial" w:hAnsi="Arial" w:cs="Arial"/>
                <w:b/>
                <w:sz w:val="22"/>
                <w:szCs w:val="22"/>
              </w:rPr>
            </w:pPr>
            <w:r w:rsidRPr="00CF2E51">
              <w:rPr>
                <w:rFonts w:ascii="Arial" w:hAnsi="Arial" w:cs="Arial"/>
                <w:b/>
                <w:sz w:val="22"/>
                <w:szCs w:val="22"/>
              </w:rPr>
              <w:t>Normal Professional</w:t>
            </w:r>
          </w:p>
          <w:p w:rsidR="00941CF1" w:rsidRPr="00CF2E51" w:rsidRDefault="00941CF1" w:rsidP="00FC5224">
            <w:pPr>
              <w:ind w:left="113" w:right="113"/>
              <w:jc w:val="center"/>
              <w:rPr>
                <w:rFonts w:ascii="Arial" w:hAnsi="Arial" w:cs="Arial"/>
                <w:b/>
                <w:sz w:val="22"/>
                <w:szCs w:val="22"/>
              </w:rPr>
            </w:pPr>
            <w:r w:rsidRPr="00CF2E51">
              <w:rPr>
                <w:rFonts w:ascii="Arial" w:hAnsi="Arial" w:cs="Arial"/>
                <w:b/>
                <w:sz w:val="22"/>
                <w:szCs w:val="22"/>
              </w:rPr>
              <w:t>Responsibilities</w:t>
            </w:r>
            <w:r w:rsidRPr="00CF2E51">
              <w:rPr>
                <w:rFonts w:ascii="Arial" w:hAnsi="Arial" w:cs="Arial"/>
                <w:b/>
                <w:sz w:val="22"/>
                <w:szCs w:val="22"/>
                <w:vertAlign w:val="superscript"/>
              </w:rPr>
              <w:t>3</w:t>
            </w:r>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1CF1" w:rsidRPr="00CF2E51" w:rsidRDefault="00941CF1" w:rsidP="00FC5224">
            <w:pPr>
              <w:jc w:val="center"/>
              <w:rPr>
                <w:rFonts w:ascii="Arial" w:hAnsi="Arial" w:cs="Arial"/>
                <w:b/>
                <w:sz w:val="22"/>
                <w:szCs w:val="22"/>
              </w:rPr>
            </w:pPr>
            <w:r w:rsidRPr="00CF2E51">
              <w:rPr>
                <w:rFonts w:ascii="Arial" w:hAnsi="Arial" w:cs="Arial"/>
                <w:b/>
                <w:sz w:val="22"/>
                <w:szCs w:val="22"/>
              </w:rPr>
              <w:t>Percent of Time Devoted to Mission for Each Faculty Qualification Group</w:t>
            </w:r>
            <w:r w:rsidRPr="00CF2E51">
              <w:rPr>
                <w:rFonts w:ascii="Arial" w:hAnsi="Arial" w:cs="Arial"/>
                <w:b/>
                <w:sz w:val="22"/>
                <w:szCs w:val="22"/>
                <w:vertAlign w:val="superscript"/>
              </w:rPr>
              <w:t>5</w:t>
            </w:r>
          </w:p>
        </w:tc>
        <w:tc>
          <w:tcPr>
            <w:tcW w:w="2430" w:type="dxa"/>
            <w:vMerge w:val="restart"/>
            <w:tcBorders>
              <w:top w:val="single" w:sz="4" w:space="0" w:color="auto"/>
              <w:left w:val="single" w:sz="4" w:space="0" w:color="auto"/>
              <w:right w:val="single" w:sz="4" w:space="0" w:color="auto"/>
            </w:tcBorders>
            <w:textDirection w:val="btLr"/>
            <w:vAlign w:val="center"/>
          </w:tcPr>
          <w:p w:rsidR="00941CF1" w:rsidRPr="00CF2E51" w:rsidRDefault="00941CF1" w:rsidP="004A05F9">
            <w:pPr>
              <w:ind w:left="113" w:right="113"/>
              <w:rPr>
                <w:rFonts w:ascii="Arial" w:hAnsi="Arial" w:cs="Arial"/>
                <w:b/>
                <w:sz w:val="22"/>
                <w:szCs w:val="22"/>
              </w:rPr>
            </w:pPr>
            <w:r w:rsidRPr="00CF2E51">
              <w:rPr>
                <w:rFonts w:ascii="Arial" w:hAnsi="Arial" w:cs="Arial"/>
                <w:b/>
                <w:sz w:val="22"/>
                <w:szCs w:val="22"/>
              </w:rPr>
              <w:t>Brief Description of Basis for Qualification (Enter brief quantitative and/or qualitative information corresponding to the school’s criteria for each category.)</w:t>
            </w:r>
          </w:p>
        </w:tc>
      </w:tr>
      <w:tr w:rsidR="00941CF1" w:rsidRPr="00CF2E51" w:rsidTr="004A05F9">
        <w:trPr>
          <w:cantSplit/>
          <w:trHeight w:val="3842"/>
        </w:trPr>
        <w:tc>
          <w:tcPr>
            <w:tcW w:w="2160" w:type="dxa"/>
            <w:tcBorders>
              <w:top w:val="single" w:sz="4" w:space="0" w:color="auto"/>
              <w:left w:val="single" w:sz="4" w:space="0" w:color="auto"/>
              <w:bottom w:val="single" w:sz="4" w:space="0" w:color="auto"/>
              <w:right w:val="single" w:sz="4" w:space="0" w:color="auto"/>
            </w:tcBorders>
            <w:textDirection w:val="btLr"/>
            <w:vAlign w:val="center"/>
          </w:tcPr>
          <w:p w:rsidR="00941CF1" w:rsidRPr="00CF2E51" w:rsidRDefault="00941CF1" w:rsidP="004A05F9">
            <w:pPr>
              <w:ind w:left="113" w:right="113"/>
              <w:rPr>
                <w:rFonts w:ascii="Arial" w:hAnsi="Arial" w:cs="Arial"/>
                <w:b/>
                <w:sz w:val="22"/>
                <w:szCs w:val="22"/>
              </w:rPr>
            </w:pPr>
            <w:r w:rsidRPr="00CF2E51">
              <w:rPr>
                <w:rFonts w:ascii="Arial" w:hAnsi="Arial" w:cs="Arial"/>
                <w:b/>
                <w:sz w:val="22"/>
                <w:szCs w:val="22"/>
              </w:rPr>
              <w:t>Faculty Member’s Name</w:t>
            </w:r>
          </w:p>
          <w:p w:rsidR="00941CF1" w:rsidRPr="00CF2E51" w:rsidRDefault="00941CF1" w:rsidP="00FC5224">
            <w:pPr>
              <w:ind w:left="113" w:right="113"/>
              <w:jc w:val="both"/>
              <w:rPr>
                <w:rFonts w:ascii="Arial" w:hAnsi="Arial" w:cs="Arial"/>
                <w:b/>
                <w:sz w:val="22"/>
                <w:szCs w:val="22"/>
                <w:vertAlign w:val="superscript"/>
              </w:rPr>
            </w:pPr>
            <w:r w:rsidRPr="00CF2E51">
              <w:rPr>
                <w:rFonts w:ascii="Arial" w:hAnsi="Arial" w:cs="Arial"/>
                <w:b/>
                <w:sz w:val="22"/>
                <w:szCs w:val="22"/>
              </w:rPr>
              <w:t xml:space="preserve">(List individually in sections reflecting the school’s faculty organizational structure </w:t>
            </w:r>
            <w:r>
              <w:rPr>
                <w:rFonts w:ascii="Arial" w:hAnsi="Arial" w:cs="Arial"/>
                <w:b/>
                <w:sz w:val="22"/>
                <w:szCs w:val="22"/>
              </w:rPr>
              <w:t xml:space="preserve">and/or discipline </w:t>
            </w:r>
            <w:r w:rsidRPr="00CF2E51">
              <w:rPr>
                <w:rFonts w:ascii="Arial" w:hAnsi="Arial" w:cs="Arial"/>
                <w:b/>
                <w:sz w:val="22"/>
                <w:szCs w:val="22"/>
              </w:rPr>
              <w:t>(e.g., departments and research groups)</w:t>
            </w:r>
            <w:r w:rsidRPr="00CF2E51">
              <w:rPr>
                <w:rFonts w:ascii="Arial" w:hAnsi="Arial" w:cs="Arial"/>
                <w:b/>
                <w:sz w:val="22"/>
                <w:szCs w:val="22"/>
                <w:vertAlign w:val="superscript"/>
              </w:rPr>
              <w:t>1</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941CF1" w:rsidRPr="00CF2E51" w:rsidRDefault="00941CF1" w:rsidP="00FC5224">
            <w:pPr>
              <w:ind w:left="113" w:right="113"/>
              <w:jc w:val="center"/>
              <w:rPr>
                <w:rFonts w:ascii="Arial" w:hAnsi="Arial" w:cs="Arial"/>
                <w:b/>
                <w:sz w:val="22"/>
                <w:szCs w:val="22"/>
              </w:rPr>
            </w:pPr>
            <w:r w:rsidRPr="00CF2E51">
              <w:rPr>
                <w:rFonts w:ascii="Arial" w:hAnsi="Arial" w:cs="Arial"/>
                <w:b/>
                <w:sz w:val="22"/>
                <w:szCs w:val="22"/>
              </w:rPr>
              <w:t>Date of First Appointment  to the School</w:t>
            </w:r>
          </w:p>
        </w:tc>
        <w:tc>
          <w:tcPr>
            <w:tcW w:w="1260" w:type="dxa"/>
            <w:tcBorders>
              <w:top w:val="single" w:sz="4" w:space="0" w:color="auto"/>
              <w:left w:val="single" w:sz="4" w:space="0" w:color="auto"/>
              <w:bottom w:val="single" w:sz="4" w:space="0" w:color="auto"/>
              <w:right w:val="single" w:sz="4" w:space="0" w:color="auto"/>
            </w:tcBorders>
            <w:textDirection w:val="btLr"/>
            <w:vAlign w:val="center"/>
          </w:tcPr>
          <w:p w:rsidR="00941CF1" w:rsidRPr="00CF2E51" w:rsidRDefault="00941CF1" w:rsidP="00FC5224">
            <w:pPr>
              <w:ind w:left="113" w:right="113"/>
              <w:jc w:val="center"/>
              <w:rPr>
                <w:rFonts w:ascii="Arial" w:hAnsi="Arial" w:cs="Arial"/>
                <w:b/>
                <w:sz w:val="22"/>
                <w:szCs w:val="22"/>
              </w:rPr>
            </w:pPr>
            <w:r w:rsidRPr="00CF2E51">
              <w:rPr>
                <w:rFonts w:ascii="Arial" w:hAnsi="Arial" w:cs="Arial"/>
                <w:b/>
                <w:sz w:val="22"/>
                <w:szCs w:val="22"/>
              </w:rPr>
              <w:t>Highest Degree, Year Earned</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rsidR="00941CF1" w:rsidRPr="00CF2E51" w:rsidRDefault="00941CF1" w:rsidP="00FC5224">
            <w:pPr>
              <w:ind w:left="113" w:right="113"/>
              <w:jc w:val="center"/>
              <w:rPr>
                <w:rFonts w:ascii="Arial" w:hAnsi="Arial" w:cs="Arial"/>
                <w:b/>
                <w:sz w:val="22"/>
                <w:szCs w:val="22"/>
              </w:rPr>
            </w:pPr>
            <w:r w:rsidRPr="00CF2E51">
              <w:rPr>
                <w:rFonts w:ascii="Arial" w:hAnsi="Arial" w:cs="Arial"/>
                <w:b/>
                <w:sz w:val="22"/>
                <w:szCs w:val="22"/>
              </w:rPr>
              <w:t>Participating Faculty</w:t>
            </w:r>
          </w:p>
          <w:p w:rsidR="00941CF1" w:rsidRPr="00CF2E51" w:rsidRDefault="00941CF1" w:rsidP="00FC5224">
            <w:pPr>
              <w:ind w:left="113" w:right="113"/>
              <w:jc w:val="center"/>
              <w:rPr>
                <w:rFonts w:ascii="Arial" w:hAnsi="Arial" w:cs="Arial"/>
                <w:b/>
                <w:sz w:val="22"/>
                <w:szCs w:val="22"/>
                <w:vertAlign w:val="superscript"/>
              </w:rPr>
            </w:pPr>
            <w:r w:rsidRPr="00CF2E51">
              <w:rPr>
                <w:rFonts w:ascii="Arial" w:hAnsi="Arial" w:cs="Arial"/>
                <w:b/>
                <w:sz w:val="22"/>
                <w:szCs w:val="22"/>
              </w:rPr>
              <w:t>Productivity (P)</w:t>
            </w:r>
            <w:r w:rsidRPr="00CF2E51">
              <w:rPr>
                <w:rFonts w:ascii="Arial" w:hAnsi="Arial" w:cs="Arial"/>
                <w:b/>
                <w:sz w:val="22"/>
                <w:szCs w:val="22"/>
                <w:vertAlign w:val="superscript"/>
              </w:rPr>
              <w:t>2</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rsidR="00941CF1" w:rsidRPr="00CF2E51" w:rsidRDefault="00941CF1" w:rsidP="00FC5224">
            <w:pPr>
              <w:ind w:left="113" w:right="113"/>
              <w:jc w:val="center"/>
              <w:rPr>
                <w:rFonts w:ascii="Arial" w:hAnsi="Arial" w:cs="Arial"/>
                <w:b/>
                <w:sz w:val="22"/>
                <w:szCs w:val="22"/>
                <w:vertAlign w:val="superscript"/>
              </w:rPr>
            </w:pPr>
            <w:r w:rsidRPr="00CF2E51">
              <w:rPr>
                <w:rFonts w:ascii="Arial" w:hAnsi="Arial" w:cs="Arial"/>
                <w:b/>
                <w:sz w:val="22"/>
                <w:szCs w:val="22"/>
              </w:rPr>
              <w:t>Supporting Faculty Productivity (S)</w:t>
            </w:r>
            <w:r w:rsidRPr="00CF2E51">
              <w:rPr>
                <w:rFonts w:ascii="Arial" w:hAnsi="Arial" w:cs="Arial"/>
                <w:b/>
                <w:sz w:val="22"/>
                <w:szCs w:val="22"/>
                <w:vertAlign w:val="superscript"/>
              </w:rPr>
              <w:t>2</w:t>
            </w:r>
          </w:p>
        </w:tc>
        <w:tc>
          <w:tcPr>
            <w:tcW w:w="720" w:type="dxa"/>
            <w:vMerge/>
            <w:tcBorders>
              <w:top w:val="single" w:sz="4" w:space="0" w:color="auto"/>
              <w:left w:val="single" w:sz="4" w:space="0" w:color="auto"/>
              <w:bottom w:val="single" w:sz="4" w:space="0" w:color="auto"/>
              <w:right w:val="single" w:sz="4" w:space="0" w:color="auto"/>
            </w:tcBorders>
            <w:textDirection w:val="btLr"/>
            <w:vAlign w:val="center"/>
          </w:tcPr>
          <w:p w:rsidR="00941CF1" w:rsidRPr="00CF2E51" w:rsidRDefault="00941CF1" w:rsidP="004A05F9">
            <w:pPr>
              <w:ind w:left="113" w:right="113"/>
              <w:rPr>
                <w:rFonts w:ascii="Arial" w:hAnsi="Arial" w:cs="Arial"/>
                <w:b/>
                <w:sz w:val="22"/>
                <w:szCs w:val="22"/>
                <w:vertAlign w:val="superscript"/>
              </w:rPr>
            </w:pP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rsidR="00941CF1" w:rsidRPr="00CF2E51" w:rsidRDefault="00941CF1" w:rsidP="00FC5224">
            <w:pPr>
              <w:ind w:left="113" w:right="113"/>
              <w:jc w:val="center"/>
              <w:rPr>
                <w:rFonts w:ascii="Arial" w:hAnsi="Arial" w:cs="Arial"/>
                <w:b/>
                <w:sz w:val="22"/>
                <w:szCs w:val="22"/>
              </w:rPr>
            </w:pPr>
            <w:r w:rsidRPr="00CF2E51">
              <w:rPr>
                <w:rFonts w:ascii="Arial" w:hAnsi="Arial" w:cs="Arial"/>
                <w:b/>
                <w:sz w:val="22"/>
                <w:szCs w:val="22"/>
              </w:rPr>
              <w:t>Scholarly  Academic (SA)</w:t>
            </w:r>
            <w:r w:rsidRPr="00CF2E51">
              <w:rPr>
                <w:rFonts w:ascii="Arial" w:hAnsi="Arial" w:cs="Arial"/>
                <w:b/>
                <w:sz w:val="22"/>
                <w:szCs w:val="22"/>
                <w:vertAlign w:val="superscript"/>
              </w:rPr>
              <w:t>4</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rsidR="00941CF1" w:rsidRPr="00CF2E51" w:rsidRDefault="00941CF1" w:rsidP="00FC5224">
            <w:pPr>
              <w:ind w:left="113" w:right="113"/>
              <w:jc w:val="center"/>
              <w:rPr>
                <w:rFonts w:ascii="Arial" w:hAnsi="Arial" w:cs="Arial"/>
                <w:b/>
                <w:sz w:val="22"/>
                <w:szCs w:val="22"/>
              </w:rPr>
            </w:pPr>
            <w:r w:rsidRPr="00CF2E51">
              <w:rPr>
                <w:rFonts w:ascii="Arial" w:hAnsi="Arial" w:cs="Arial"/>
                <w:b/>
                <w:sz w:val="22"/>
                <w:szCs w:val="22"/>
              </w:rPr>
              <w:t>Practice Academic (PA)</w:t>
            </w:r>
            <w:r w:rsidRPr="00CF2E51">
              <w:rPr>
                <w:rFonts w:ascii="Arial" w:hAnsi="Arial" w:cs="Arial"/>
                <w:b/>
                <w:sz w:val="22"/>
                <w:szCs w:val="22"/>
                <w:vertAlign w:val="superscript"/>
              </w:rPr>
              <w:t>4</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rsidR="00941CF1" w:rsidRPr="00CF2E51" w:rsidRDefault="00941CF1" w:rsidP="00FC5224">
            <w:pPr>
              <w:ind w:left="113" w:right="113"/>
              <w:jc w:val="center"/>
              <w:rPr>
                <w:rFonts w:ascii="Arial" w:hAnsi="Arial" w:cs="Arial"/>
                <w:b/>
                <w:sz w:val="22"/>
                <w:szCs w:val="22"/>
                <w:vertAlign w:val="superscript"/>
              </w:rPr>
            </w:pPr>
            <w:r w:rsidRPr="00CF2E51">
              <w:rPr>
                <w:rFonts w:ascii="Arial" w:hAnsi="Arial" w:cs="Arial"/>
                <w:b/>
                <w:sz w:val="22"/>
                <w:szCs w:val="22"/>
              </w:rPr>
              <w:t>Scholarly Practitioner (SP)</w:t>
            </w:r>
            <w:r w:rsidRPr="00CF2E51">
              <w:rPr>
                <w:rFonts w:ascii="Arial" w:hAnsi="Arial" w:cs="Arial"/>
                <w:b/>
                <w:sz w:val="22"/>
                <w:szCs w:val="22"/>
                <w:vertAlign w:val="superscript"/>
              </w:rPr>
              <w:t>4</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rsidR="00941CF1" w:rsidRPr="00CF2E51" w:rsidRDefault="00941CF1" w:rsidP="00FC5224">
            <w:pPr>
              <w:ind w:left="113" w:right="113"/>
              <w:jc w:val="center"/>
              <w:rPr>
                <w:rFonts w:ascii="Arial" w:hAnsi="Arial" w:cs="Arial"/>
                <w:b/>
                <w:sz w:val="22"/>
                <w:szCs w:val="22"/>
              </w:rPr>
            </w:pPr>
            <w:r w:rsidRPr="00CF2E51">
              <w:rPr>
                <w:rFonts w:ascii="Arial" w:hAnsi="Arial" w:cs="Arial"/>
                <w:b/>
                <w:sz w:val="22"/>
                <w:szCs w:val="22"/>
              </w:rPr>
              <w:t>Instructional  Practitioner (IP)</w:t>
            </w:r>
            <w:r w:rsidRPr="00CF2E51">
              <w:rPr>
                <w:rFonts w:ascii="Arial" w:hAnsi="Arial" w:cs="Arial"/>
                <w:b/>
                <w:sz w:val="22"/>
                <w:szCs w:val="22"/>
                <w:vertAlign w:val="superscript"/>
              </w:rPr>
              <w:t>4</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941CF1" w:rsidRPr="00CF2E51" w:rsidRDefault="00941CF1" w:rsidP="00FC5224">
            <w:pPr>
              <w:ind w:left="113" w:right="113"/>
              <w:jc w:val="center"/>
              <w:rPr>
                <w:rFonts w:ascii="Arial" w:hAnsi="Arial" w:cs="Arial"/>
                <w:b/>
                <w:sz w:val="22"/>
                <w:szCs w:val="22"/>
              </w:rPr>
            </w:pPr>
            <w:r w:rsidRPr="00CF2E51">
              <w:rPr>
                <w:rFonts w:ascii="Arial" w:hAnsi="Arial" w:cs="Arial"/>
                <w:b/>
                <w:sz w:val="22"/>
                <w:szCs w:val="22"/>
              </w:rPr>
              <w:t>Other (O)</w:t>
            </w:r>
            <w:r w:rsidRPr="00CF2E51">
              <w:rPr>
                <w:rFonts w:ascii="Arial" w:hAnsi="Arial" w:cs="Arial"/>
                <w:b/>
                <w:sz w:val="22"/>
                <w:szCs w:val="22"/>
                <w:vertAlign w:val="superscript"/>
              </w:rPr>
              <w:t>4</w:t>
            </w:r>
          </w:p>
        </w:tc>
        <w:tc>
          <w:tcPr>
            <w:tcW w:w="2430" w:type="dxa"/>
            <w:vMerge/>
            <w:tcBorders>
              <w:left w:val="single" w:sz="4" w:space="0" w:color="auto"/>
              <w:right w:val="single" w:sz="4" w:space="0" w:color="auto"/>
            </w:tcBorders>
            <w:textDirection w:val="btLr"/>
          </w:tcPr>
          <w:p w:rsidR="00941CF1" w:rsidRPr="00CF2E51" w:rsidRDefault="00941CF1" w:rsidP="004A05F9">
            <w:pPr>
              <w:ind w:left="113" w:right="113"/>
              <w:rPr>
                <w:rFonts w:ascii="Arial" w:hAnsi="Arial" w:cs="Arial"/>
                <w:b/>
                <w:sz w:val="22"/>
                <w:szCs w:val="22"/>
              </w:rPr>
            </w:pPr>
          </w:p>
        </w:tc>
      </w:tr>
      <w:tr w:rsidR="00941CF1" w:rsidRPr="00CF2E51" w:rsidTr="004A05F9">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50"/>
        </w:trPr>
        <w:tc>
          <w:tcPr>
            <w:tcW w:w="2160" w:type="dxa"/>
            <w:tcBorders>
              <w:top w:val="single" w:sz="4" w:space="0" w:color="auto"/>
            </w:tcBorders>
            <w:textDirection w:val="btLr"/>
          </w:tcPr>
          <w:p w:rsidR="00941CF1" w:rsidRPr="00CF2E51" w:rsidRDefault="00941CF1" w:rsidP="004A05F9">
            <w:pPr>
              <w:ind w:left="113" w:right="113"/>
              <w:rPr>
                <w:rFonts w:ascii="Arial" w:hAnsi="Arial" w:cs="Arial"/>
                <w:b/>
                <w:sz w:val="22"/>
                <w:szCs w:val="22"/>
              </w:rPr>
            </w:pPr>
          </w:p>
        </w:tc>
        <w:tc>
          <w:tcPr>
            <w:tcW w:w="1080" w:type="dxa"/>
            <w:tcBorders>
              <w:top w:val="single" w:sz="4" w:space="0" w:color="auto"/>
            </w:tcBorders>
            <w:textDirection w:val="btLr"/>
          </w:tcPr>
          <w:p w:rsidR="00941CF1" w:rsidRPr="00CF2E51" w:rsidRDefault="00941CF1" w:rsidP="004A05F9">
            <w:pPr>
              <w:ind w:left="113" w:right="113"/>
              <w:rPr>
                <w:rFonts w:ascii="Arial" w:hAnsi="Arial" w:cs="Arial"/>
                <w:b/>
                <w:sz w:val="22"/>
                <w:szCs w:val="22"/>
              </w:rPr>
            </w:pPr>
          </w:p>
        </w:tc>
        <w:tc>
          <w:tcPr>
            <w:tcW w:w="1260" w:type="dxa"/>
            <w:tcBorders>
              <w:top w:val="single" w:sz="4" w:space="0" w:color="auto"/>
            </w:tcBorders>
            <w:textDirection w:val="btLr"/>
          </w:tcPr>
          <w:p w:rsidR="00941CF1" w:rsidRPr="00CF2E51" w:rsidRDefault="00941CF1" w:rsidP="004A05F9">
            <w:pPr>
              <w:ind w:left="113" w:right="113"/>
              <w:rPr>
                <w:rFonts w:ascii="Arial" w:hAnsi="Arial" w:cs="Arial"/>
                <w:b/>
                <w:sz w:val="22"/>
                <w:szCs w:val="22"/>
              </w:rPr>
            </w:pPr>
          </w:p>
        </w:tc>
        <w:tc>
          <w:tcPr>
            <w:tcW w:w="810" w:type="dxa"/>
            <w:tcBorders>
              <w:top w:val="single" w:sz="4" w:space="0" w:color="auto"/>
            </w:tcBorders>
            <w:textDirection w:val="btLr"/>
          </w:tcPr>
          <w:p w:rsidR="00941CF1" w:rsidRPr="00CF2E51" w:rsidRDefault="00941CF1" w:rsidP="004A05F9">
            <w:pPr>
              <w:ind w:left="113" w:right="113"/>
              <w:rPr>
                <w:rFonts w:ascii="Arial" w:hAnsi="Arial" w:cs="Arial"/>
                <w:b/>
                <w:sz w:val="22"/>
                <w:szCs w:val="22"/>
              </w:rPr>
            </w:pPr>
          </w:p>
        </w:tc>
        <w:tc>
          <w:tcPr>
            <w:tcW w:w="810" w:type="dxa"/>
            <w:tcBorders>
              <w:top w:val="single" w:sz="4" w:space="0" w:color="auto"/>
            </w:tcBorders>
            <w:textDirection w:val="btLr"/>
          </w:tcPr>
          <w:p w:rsidR="00941CF1" w:rsidRPr="00CF2E51" w:rsidRDefault="00941CF1" w:rsidP="004A05F9">
            <w:pPr>
              <w:ind w:left="113" w:right="113"/>
              <w:rPr>
                <w:rFonts w:ascii="Arial" w:hAnsi="Arial" w:cs="Arial"/>
                <w:b/>
                <w:sz w:val="22"/>
                <w:szCs w:val="22"/>
              </w:rPr>
            </w:pPr>
          </w:p>
        </w:tc>
        <w:tc>
          <w:tcPr>
            <w:tcW w:w="720" w:type="dxa"/>
            <w:tcBorders>
              <w:top w:val="single" w:sz="4" w:space="0" w:color="auto"/>
            </w:tcBorders>
            <w:textDirection w:val="btLr"/>
          </w:tcPr>
          <w:p w:rsidR="00941CF1" w:rsidRPr="00CF2E51" w:rsidRDefault="00941CF1" w:rsidP="004A05F9">
            <w:pPr>
              <w:ind w:left="113" w:right="113"/>
              <w:rPr>
                <w:rFonts w:ascii="Arial" w:hAnsi="Arial" w:cs="Arial"/>
                <w:b/>
                <w:sz w:val="22"/>
                <w:szCs w:val="22"/>
              </w:rPr>
            </w:pPr>
          </w:p>
        </w:tc>
        <w:tc>
          <w:tcPr>
            <w:tcW w:w="810" w:type="dxa"/>
            <w:tcBorders>
              <w:top w:val="single" w:sz="4" w:space="0" w:color="auto"/>
            </w:tcBorders>
            <w:textDirection w:val="btLr"/>
          </w:tcPr>
          <w:p w:rsidR="00941CF1" w:rsidRPr="00CF2E51" w:rsidRDefault="00941CF1" w:rsidP="004A05F9">
            <w:pPr>
              <w:ind w:left="113" w:right="113"/>
              <w:rPr>
                <w:rFonts w:ascii="Arial" w:hAnsi="Arial" w:cs="Arial"/>
                <w:b/>
                <w:sz w:val="22"/>
                <w:szCs w:val="22"/>
              </w:rPr>
            </w:pPr>
          </w:p>
        </w:tc>
        <w:tc>
          <w:tcPr>
            <w:tcW w:w="810" w:type="dxa"/>
            <w:tcBorders>
              <w:top w:val="single" w:sz="4" w:space="0" w:color="auto"/>
            </w:tcBorders>
            <w:textDirection w:val="btLr"/>
          </w:tcPr>
          <w:p w:rsidR="00941CF1" w:rsidRPr="00CF2E51" w:rsidRDefault="00941CF1" w:rsidP="004A05F9">
            <w:pPr>
              <w:ind w:left="113" w:right="113"/>
              <w:rPr>
                <w:rFonts w:ascii="Arial" w:hAnsi="Arial" w:cs="Arial"/>
                <w:b/>
                <w:sz w:val="22"/>
                <w:szCs w:val="22"/>
              </w:rPr>
            </w:pPr>
          </w:p>
        </w:tc>
        <w:tc>
          <w:tcPr>
            <w:tcW w:w="810" w:type="dxa"/>
            <w:tcBorders>
              <w:top w:val="single" w:sz="4" w:space="0" w:color="auto"/>
            </w:tcBorders>
            <w:textDirection w:val="btLr"/>
          </w:tcPr>
          <w:p w:rsidR="00941CF1" w:rsidRPr="00CF2E51" w:rsidRDefault="00941CF1" w:rsidP="004A05F9">
            <w:pPr>
              <w:ind w:left="113" w:right="113"/>
              <w:jc w:val="both"/>
              <w:rPr>
                <w:rFonts w:ascii="Arial" w:hAnsi="Arial" w:cs="Arial"/>
                <w:b/>
                <w:sz w:val="22"/>
                <w:szCs w:val="22"/>
              </w:rPr>
            </w:pPr>
          </w:p>
        </w:tc>
        <w:tc>
          <w:tcPr>
            <w:tcW w:w="810" w:type="dxa"/>
            <w:tcBorders>
              <w:top w:val="single" w:sz="4" w:space="0" w:color="auto"/>
            </w:tcBorders>
            <w:textDirection w:val="btLr"/>
          </w:tcPr>
          <w:p w:rsidR="00941CF1" w:rsidRPr="00CF2E51" w:rsidRDefault="00941CF1" w:rsidP="004A05F9">
            <w:pPr>
              <w:ind w:left="113" w:right="113"/>
              <w:rPr>
                <w:rFonts w:ascii="Arial" w:hAnsi="Arial" w:cs="Arial"/>
                <w:b/>
                <w:sz w:val="22"/>
                <w:szCs w:val="22"/>
              </w:rPr>
            </w:pPr>
          </w:p>
        </w:tc>
        <w:tc>
          <w:tcPr>
            <w:tcW w:w="630" w:type="dxa"/>
            <w:tcBorders>
              <w:top w:val="single" w:sz="4" w:space="0" w:color="auto"/>
            </w:tcBorders>
            <w:textDirection w:val="btLr"/>
          </w:tcPr>
          <w:p w:rsidR="00941CF1" w:rsidRPr="00CF2E51" w:rsidRDefault="00941CF1" w:rsidP="004A05F9">
            <w:pPr>
              <w:ind w:left="113" w:right="113"/>
              <w:rPr>
                <w:rFonts w:ascii="Arial" w:hAnsi="Arial" w:cs="Arial"/>
                <w:b/>
                <w:sz w:val="22"/>
                <w:szCs w:val="22"/>
              </w:rPr>
            </w:pPr>
          </w:p>
        </w:tc>
        <w:tc>
          <w:tcPr>
            <w:tcW w:w="2430" w:type="dxa"/>
            <w:textDirection w:val="btLr"/>
          </w:tcPr>
          <w:p w:rsidR="00941CF1" w:rsidRPr="00CF2E51" w:rsidRDefault="00941CF1" w:rsidP="004A05F9">
            <w:pPr>
              <w:ind w:left="113" w:right="113"/>
              <w:rPr>
                <w:rFonts w:ascii="Arial" w:hAnsi="Arial" w:cs="Arial"/>
                <w:b/>
                <w:sz w:val="22"/>
                <w:szCs w:val="22"/>
              </w:rPr>
            </w:pPr>
          </w:p>
        </w:tc>
      </w:tr>
      <w:tr w:rsidR="00941CF1" w:rsidRPr="00CF2E51" w:rsidTr="004A05F9">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50"/>
        </w:trPr>
        <w:tc>
          <w:tcPr>
            <w:tcW w:w="2160" w:type="dxa"/>
            <w:textDirection w:val="btLr"/>
          </w:tcPr>
          <w:p w:rsidR="00941CF1" w:rsidRPr="00CF2E51" w:rsidRDefault="00941CF1" w:rsidP="004A05F9">
            <w:pPr>
              <w:ind w:left="113" w:right="113"/>
              <w:rPr>
                <w:rFonts w:ascii="Arial" w:hAnsi="Arial" w:cs="Arial"/>
                <w:b/>
                <w:sz w:val="22"/>
                <w:szCs w:val="22"/>
              </w:rPr>
            </w:pPr>
          </w:p>
        </w:tc>
        <w:tc>
          <w:tcPr>
            <w:tcW w:w="1080" w:type="dxa"/>
            <w:textDirection w:val="btLr"/>
          </w:tcPr>
          <w:p w:rsidR="00941CF1" w:rsidRPr="00CF2E51" w:rsidRDefault="00941CF1" w:rsidP="004A05F9">
            <w:pPr>
              <w:ind w:left="113" w:right="113"/>
              <w:rPr>
                <w:rFonts w:ascii="Arial" w:hAnsi="Arial" w:cs="Arial"/>
                <w:b/>
                <w:sz w:val="22"/>
                <w:szCs w:val="22"/>
              </w:rPr>
            </w:pPr>
          </w:p>
        </w:tc>
        <w:tc>
          <w:tcPr>
            <w:tcW w:w="1260" w:type="dxa"/>
            <w:textDirection w:val="btLr"/>
          </w:tcPr>
          <w:p w:rsidR="00941CF1" w:rsidRPr="00CF2E51" w:rsidRDefault="00941CF1" w:rsidP="004A05F9">
            <w:pPr>
              <w:ind w:left="113" w:right="113"/>
              <w:rPr>
                <w:rFonts w:ascii="Arial" w:hAnsi="Arial" w:cs="Arial"/>
                <w:b/>
                <w:sz w:val="22"/>
                <w:szCs w:val="22"/>
              </w:rPr>
            </w:pPr>
          </w:p>
        </w:tc>
        <w:tc>
          <w:tcPr>
            <w:tcW w:w="810" w:type="dxa"/>
            <w:textDirection w:val="btLr"/>
          </w:tcPr>
          <w:p w:rsidR="00941CF1" w:rsidRPr="00CF2E51" w:rsidRDefault="00941CF1" w:rsidP="004A05F9">
            <w:pPr>
              <w:ind w:left="113" w:right="113"/>
              <w:rPr>
                <w:rFonts w:ascii="Arial" w:hAnsi="Arial" w:cs="Arial"/>
                <w:b/>
                <w:sz w:val="22"/>
                <w:szCs w:val="22"/>
              </w:rPr>
            </w:pPr>
          </w:p>
        </w:tc>
        <w:tc>
          <w:tcPr>
            <w:tcW w:w="810" w:type="dxa"/>
            <w:textDirection w:val="btLr"/>
          </w:tcPr>
          <w:p w:rsidR="00941CF1" w:rsidRPr="00CF2E51" w:rsidRDefault="00941CF1" w:rsidP="004A05F9">
            <w:pPr>
              <w:ind w:left="113" w:right="113"/>
              <w:rPr>
                <w:rFonts w:ascii="Arial" w:hAnsi="Arial" w:cs="Arial"/>
                <w:b/>
                <w:sz w:val="22"/>
                <w:szCs w:val="22"/>
              </w:rPr>
            </w:pPr>
          </w:p>
        </w:tc>
        <w:tc>
          <w:tcPr>
            <w:tcW w:w="720" w:type="dxa"/>
            <w:textDirection w:val="btLr"/>
          </w:tcPr>
          <w:p w:rsidR="00941CF1" w:rsidRPr="00CF2E51" w:rsidRDefault="00941CF1" w:rsidP="004A05F9">
            <w:pPr>
              <w:ind w:left="113" w:right="113"/>
              <w:rPr>
                <w:rFonts w:ascii="Arial" w:hAnsi="Arial" w:cs="Arial"/>
                <w:b/>
                <w:sz w:val="22"/>
                <w:szCs w:val="22"/>
              </w:rPr>
            </w:pPr>
          </w:p>
        </w:tc>
        <w:tc>
          <w:tcPr>
            <w:tcW w:w="810" w:type="dxa"/>
            <w:textDirection w:val="btLr"/>
          </w:tcPr>
          <w:p w:rsidR="00941CF1" w:rsidRPr="00CF2E51" w:rsidRDefault="00941CF1" w:rsidP="004A05F9">
            <w:pPr>
              <w:ind w:left="113" w:right="113"/>
              <w:rPr>
                <w:rFonts w:ascii="Arial" w:hAnsi="Arial" w:cs="Arial"/>
                <w:b/>
                <w:sz w:val="22"/>
                <w:szCs w:val="22"/>
              </w:rPr>
            </w:pPr>
          </w:p>
        </w:tc>
        <w:tc>
          <w:tcPr>
            <w:tcW w:w="810" w:type="dxa"/>
            <w:textDirection w:val="btLr"/>
          </w:tcPr>
          <w:p w:rsidR="00941CF1" w:rsidRPr="00CF2E51" w:rsidRDefault="00941CF1" w:rsidP="004A05F9">
            <w:pPr>
              <w:ind w:left="113" w:right="113"/>
              <w:rPr>
                <w:rFonts w:ascii="Arial" w:hAnsi="Arial" w:cs="Arial"/>
                <w:b/>
                <w:sz w:val="22"/>
                <w:szCs w:val="22"/>
              </w:rPr>
            </w:pPr>
          </w:p>
        </w:tc>
        <w:tc>
          <w:tcPr>
            <w:tcW w:w="810" w:type="dxa"/>
            <w:textDirection w:val="btLr"/>
          </w:tcPr>
          <w:p w:rsidR="00941CF1" w:rsidRPr="00CF2E51" w:rsidRDefault="00941CF1" w:rsidP="004A05F9">
            <w:pPr>
              <w:ind w:left="113" w:right="113"/>
              <w:jc w:val="both"/>
              <w:rPr>
                <w:rFonts w:ascii="Arial" w:hAnsi="Arial" w:cs="Arial"/>
                <w:b/>
                <w:sz w:val="22"/>
                <w:szCs w:val="22"/>
              </w:rPr>
            </w:pPr>
          </w:p>
        </w:tc>
        <w:tc>
          <w:tcPr>
            <w:tcW w:w="810" w:type="dxa"/>
            <w:textDirection w:val="btLr"/>
          </w:tcPr>
          <w:p w:rsidR="00941CF1" w:rsidRPr="00CF2E51" w:rsidRDefault="00941CF1" w:rsidP="004A05F9">
            <w:pPr>
              <w:ind w:left="113" w:right="113"/>
              <w:rPr>
                <w:rFonts w:ascii="Arial" w:hAnsi="Arial" w:cs="Arial"/>
                <w:b/>
                <w:sz w:val="22"/>
                <w:szCs w:val="22"/>
              </w:rPr>
            </w:pPr>
          </w:p>
        </w:tc>
        <w:tc>
          <w:tcPr>
            <w:tcW w:w="630" w:type="dxa"/>
            <w:textDirection w:val="btLr"/>
          </w:tcPr>
          <w:p w:rsidR="00941CF1" w:rsidRPr="00CF2E51" w:rsidRDefault="00941CF1" w:rsidP="004A05F9">
            <w:pPr>
              <w:ind w:left="113" w:right="113"/>
              <w:rPr>
                <w:rFonts w:ascii="Arial" w:hAnsi="Arial" w:cs="Arial"/>
                <w:b/>
                <w:sz w:val="22"/>
                <w:szCs w:val="22"/>
              </w:rPr>
            </w:pPr>
          </w:p>
        </w:tc>
        <w:tc>
          <w:tcPr>
            <w:tcW w:w="2430" w:type="dxa"/>
            <w:textDirection w:val="btLr"/>
          </w:tcPr>
          <w:p w:rsidR="00941CF1" w:rsidRPr="00CF2E51" w:rsidRDefault="00941CF1" w:rsidP="004A05F9">
            <w:pPr>
              <w:ind w:left="113" w:right="113"/>
              <w:rPr>
                <w:rFonts w:ascii="Arial" w:hAnsi="Arial" w:cs="Arial"/>
                <w:b/>
                <w:sz w:val="22"/>
                <w:szCs w:val="22"/>
              </w:rPr>
            </w:pPr>
          </w:p>
        </w:tc>
      </w:tr>
      <w:tr w:rsidR="00941CF1" w:rsidRPr="00C74897" w:rsidTr="004A05F9">
        <w:tblPrEx>
          <w:tblBorders>
            <w:left w:val="single" w:sz="4" w:space="0" w:color="auto"/>
            <w:bottom w:val="single" w:sz="4" w:space="0" w:color="auto"/>
            <w:right w:val="single" w:sz="4" w:space="0" w:color="auto"/>
            <w:insideH w:val="single" w:sz="4" w:space="0" w:color="auto"/>
            <w:insideV w:val="single" w:sz="4" w:space="0" w:color="auto"/>
          </w:tblBorders>
        </w:tblPrEx>
        <w:trPr>
          <w:trHeight w:val="1160"/>
        </w:trPr>
        <w:tc>
          <w:tcPr>
            <w:tcW w:w="6120" w:type="dxa"/>
            <w:gridSpan w:val="5"/>
            <w:shd w:val="clear" w:color="auto" w:fill="auto"/>
          </w:tcPr>
          <w:p w:rsidR="00941CF1" w:rsidRPr="00CF2E51" w:rsidRDefault="00941CF1" w:rsidP="004A05F9">
            <w:pPr>
              <w:rPr>
                <w:rFonts w:ascii="Arial" w:hAnsi="Arial" w:cs="Arial"/>
                <w:sz w:val="22"/>
                <w:szCs w:val="22"/>
              </w:rPr>
            </w:pPr>
            <w:r w:rsidRPr="00CF2E51">
              <w:rPr>
                <w:rFonts w:ascii="Arial" w:hAnsi="Arial" w:cs="Arial"/>
                <w:sz w:val="22"/>
                <w:szCs w:val="22"/>
              </w:rPr>
              <w:t>Faculty Sufficiency Indicators</w:t>
            </w:r>
            <w:r w:rsidRPr="00CF2E51">
              <w:rPr>
                <w:rFonts w:ascii="Arial" w:hAnsi="Arial" w:cs="Arial"/>
                <w:sz w:val="22"/>
                <w:szCs w:val="22"/>
                <w:vertAlign w:val="superscript"/>
              </w:rPr>
              <w:t>1</w:t>
            </w:r>
            <w:r w:rsidRPr="00CF2E51">
              <w:rPr>
                <w:rFonts w:ascii="Arial" w:hAnsi="Arial" w:cs="Arial"/>
                <w:sz w:val="22"/>
                <w:szCs w:val="22"/>
              </w:rPr>
              <w:t>:</w:t>
            </w:r>
          </w:p>
          <w:p w:rsidR="00941CF1" w:rsidRPr="00CF2E51" w:rsidRDefault="00941CF1" w:rsidP="004A05F9">
            <w:pPr>
              <w:rPr>
                <w:rFonts w:ascii="Arial" w:hAnsi="Arial" w:cs="Arial"/>
                <w:sz w:val="22"/>
                <w:szCs w:val="22"/>
              </w:rPr>
            </w:pPr>
          </w:p>
          <w:p w:rsidR="00941CF1" w:rsidRPr="00CF2E51" w:rsidRDefault="00941CF1" w:rsidP="00941CF1">
            <w:pPr>
              <w:pStyle w:val="ListParagraph"/>
              <w:numPr>
                <w:ilvl w:val="0"/>
                <w:numId w:val="2"/>
              </w:numPr>
              <w:spacing w:after="0" w:line="240" w:lineRule="auto"/>
              <w:ind w:left="335"/>
              <w:rPr>
                <w:rFonts w:ascii="Arial" w:hAnsi="Arial" w:cs="Arial"/>
              </w:rPr>
            </w:pPr>
            <w:r w:rsidRPr="00CF2E51">
              <w:rPr>
                <w:rFonts w:ascii="Arial" w:hAnsi="Arial" w:cs="Arial"/>
              </w:rPr>
              <w:t xml:space="preserve">Overall:  P/(P+S) </w:t>
            </w:r>
            <w:r w:rsidRPr="00CF2E51">
              <w:rPr>
                <w:rFonts w:ascii="Arial" w:hAnsi="Arial" w:cs="Arial"/>
                <w:u w:val="single"/>
              </w:rPr>
              <w:t>&gt;</w:t>
            </w:r>
            <w:r w:rsidRPr="00CF2E51">
              <w:rPr>
                <w:rFonts w:ascii="Arial" w:hAnsi="Arial" w:cs="Arial"/>
              </w:rPr>
              <w:t xml:space="preserve">  75%</w:t>
            </w:r>
          </w:p>
          <w:p w:rsidR="00941CF1" w:rsidRPr="00CF2E51" w:rsidRDefault="00941CF1" w:rsidP="00941CF1">
            <w:pPr>
              <w:pStyle w:val="ListParagraph"/>
              <w:numPr>
                <w:ilvl w:val="0"/>
                <w:numId w:val="2"/>
              </w:numPr>
              <w:spacing w:after="0" w:line="240" w:lineRule="auto"/>
              <w:ind w:left="335"/>
              <w:rPr>
                <w:rFonts w:ascii="Arial" w:hAnsi="Arial" w:cs="Arial"/>
              </w:rPr>
            </w:pPr>
            <w:r w:rsidRPr="00CF2E51">
              <w:rPr>
                <w:rFonts w:ascii="Arial" w:hAnsi="Arial" w:cs="Arial"/>
              </w:rPr>
              <w:t xml:space="preserve">By discipline, location, delivery mode, or program:  P/(P+S) </w:t>
            </w:r>
            <w:r w:rsidRPr="00CF2E51">
              <w:rPr>
                <w:rFonts w:ascii="Arial" w:hAnsi="Arial" w:cs="Arial"/>
                <w:u w:val="single"/>
              </w:rPr>
              <w:t>&gt;</w:t>
            </w:r>
            <w:r w:rsidRPr="00CF2E51">
              <w:rPr>
                <w:rFonts w:ascii="Arial" w:hAnsi="Arial" w:cs="Arial"/>
              </w:rPr>
              <w:t xml:space="preserve"> 60%</w:t>
            </w:r>
          </w:p>
          <w:p w:rsidR="00941CF1" w:rsidRPr="00CF2E51" w:rsidRDefault="00941CF1" w:rsidP="004A05F9">
            <w:pPr>
              <w:pStyle w:val="ListParagraph"/>
              <w:ind w:left="747"/>
              <w:rPr>
                <w:rFonts w:ascii="Arial" w:hAnsi="Arial" w:cs="Arial"/>
              </w:rPr>
            </w:pPr>
          </w:p>
        </w:tc>
        <w:tc>
          <w:tcPr>
            <w:tcW w:w="720" w:type="dxa"/>
          </w:tcPr>
          <w:p w:rsidR="00941CF1" w:rsidRPr="00CF2E51" w:rsidRDefault="00941CF1" w:rsidP="004A05F9">
            <w:pPr>
              <w:rPr>
                <w:rFonts w:ascii="Arial" w:hAnsi="Arial" w:cs="Arial"/>
                <w:sz w:val="22"/>
                <w:szCs w:val="22"/>
              </w:rPr>
            </w:pPr>
          </w:p>
        </w:tc>
        <w:tc>
          <w:tcPr>
            <w:tcW w:w="6300" w:type="dxa"/>
            <w:gridSpan w:val="6"/>
          </w:tcPr>
          <w:p w:rsidR="00941CF1" w:rsidRPr="00CF2E51" w:rsidRDefault="00941CF1" w:rsidP="004A05F9">
            <w:pPr>
              <w:rPr>
                <w:rFonts w:ascii="Arial" w:hAnsi="Arial" w:cs="Arial"/>
                <w:sz w:val="22"/>
                <w:szCs w:val="22"/>
              </w:rPr>
            </w:pPr>
            <w:r w:rsidRPr="00CF2E51">
              <w:rPr>
                <w:rFonts w:ascii="Arial" w:hAnsi="Arial" w:cs="Arial"/>
                <w:sz w:val="22"/>
                <w:szCs w:val="22"/>
              </w:rPr>
              <w:t>Faculty Qualifications Indicators</w:t>
            </w:r>
            <w:r w:rsidRPr="00CF2E51">
              <w:rPr>
                <w:rFonts w:ascii="Arial" w:hAnsi="Arial" w:cs="Arial"/>
                <w:sz w:val="22"/>
                <w:szCs w:val="22"/>
                <w:vertAlign w:val="superscript"/>
              </w:rPr>
              <w:t>1</w:t>
            </w:r>
            <w:r w:rsidRPr="00CF2E51">
              <w:rPr>
                <w:rFonts w:ascii="Arial" w:hAnsi="Arial" w:cs="Arial"/>
                <w:sz w:val="22"/>
                <w:szCs w:val="22"/>
              </w:rPr>
              <w:t>:</w:t>
            </w:r>
          </w:p>
          <w:p w:rsidR="00941CF1" w:rsidRPr="00CF2E51" w:rsidRDefault="00941CF1" w:rsidP="004A05F9">
            <w:pPr>
              <w:rPr>
                <w:rFonts w:ascii="Arial" w:hAnsi="Arial" w:cs="Arial"/>
                <w:sz w:val="22"/>
                <w:szCs w:val="22"/>
              </w:rPr>
            </w:pPr>
          </w:p>
          <w:p w:rsidR="00941CF1" w:rsidRPr="00C74897" w:rsidRDefault="00941CF1" w:rsidP="00941CF1">
            <w:pPr>
              <w:pStyle w:val="ListParagraph"/>
              <w:numPr>
                <w:ilvl w:val="0"/>
                <w:numId w:val="3"/>
              </w:numPr>
              <w:spacing w:after="0" w:line="240" w:lineRule="auto"/>
              <w:ind w:left="368"/>
              <w:rPr>
                <w:rFonts w:ascii="Arial" w:hAnsi="Arial" w:cs="Arial"/>
                <w:lang w:val="nb-NO"/>
              </w:rPr>
            </w:pPr>
            <w:r w:rsidRPr="00C74897">
              <w:rPr>
                <w:rFonts w:ascii="Arial" w:hAnsi="Arial" w:cs="Arial"/>
                <w:lang w:val="nb-NO"/>
              </w:rPr>
              <w:t xml:space="preserve">Minimum SA:  (SA)/(SA +PA + SP + IP +O) </w:t>
            </w:r>
            <w:r w:rsidRPr="00C74897">
              <w:rPr>
                <w:rFonts w:ascii="Arial" w:hAnsi="Arial" w:cs="Arial"/>
                <w:u w:val="single"/>
                <w:lang w:val="nb-NO"/>
              </w:rPr>
              <w:t>&gt;</w:t>
            </w:r>
            <w:r w:rsidRPr="00C74897">
              <w:rPr>
                <w:rFonts w:ascii="Arial" w:hAnsi="Arial" w:cs="Arial"/>
                <w:lang w:val="nb-NO"/>
              </w:rPr>
              <w:t xml:space="preserve"> 40%</w:t>
            </w:r>
          </w:p>
          <w:p w:rsidR="00941CF1" w:rsidRPr="00C74897" w:rsidRDefault="00941CF1" w:rsidP="00941CF1">
            <w:pPr>
              <w:pStyle w:val="ListParagraph"/>
              <w:numPr>
                <w:ilvl w:val="0"/>
                <w:numId w:val="3"/>
              </w:numPr>
              <w:spacing w:after="0" w:line="240" w:lineRule="auto"/>
              <w:ind w:left="368"/>
              <w:rPr>
                <w:rFonts w:ascii="Arial" w:hAnsi="Arial" w:cs="Arial"/>
                <w:lang w:val="nb-NO"/>
              </w:rPr>
            </w:pPr>
            <w:r w:rsidRPr="00C74897">
              <w:rPr>
                <w:rFonts w:ascii="Arial" w:hAnsi="Arial" w:cs="Arial"/>
                <w:lang w:val="nb-NO"/>
              </w:rPr>
              <w:t xml:space="preserve">Minimum SA + PA + SP: (SA + PA + SP)/(SA + PA + SP + IP + O) </w:t>
            </w:r>
            <w:r w:rsidRPr="00C74897">
              <w:rPr>
                <w:rFonts w:ascii="Arial" w:hAnsi="Arial" w:cs="Arial"/>
                <w:u w:val="single"/>
                <w:lang w:val="nb-NO"/>
              </w:rPr>
              <w:t>&gt;</w:t>
            </w:r>
            <w:r w:rsidRPr="00C74897">
              <w:rPr>
                <w:rFonts w:ascii="Arial" w:hAnsi="Arial" w:cs="Arial"/>
                <w:lang w:val="nb-NO"/>
              </w:rPr>
              <w:t>60%</w:t>
            </w:r>
          </w:p>
          <w:p w:rsidR="00941CF1" w:rsidRPr="00C74897" w:rsidRDefault="00941CF1" w:rsidP="00941CF1">
            <w:pPr>
              <w:pStyle w:val="ListParagraph"/>
              <w:numPr>
                <w:ilvl w:val="0"/>
                <w:numId w:val="3"/>
              </w:numPr>
              <w:spacing w:after="0" w:line="240" w:lineRule="auto"/>
              <w:ind w:left="368"/>
              <w:rPr>
                <w:rFonts w:ascii="Arial" w:hAnsi="Arial" w:cs="Arial"/>
                <w:lang w:val="nb-NO"/>
              </w:rPr>
            </w:pPr>
            <w:r w:rsidRPr="00C74897">
              <w:rPr>
                <w:rFonts w:ascii="Arial" w:hAnsi="Arial" w:cs="Arial"/>
                <w:lang w:val="nb-NO"/>
              </w:rPr>
              <w:t xml:space="preserve">Minimum SA + PA + SP + IP: (SA + PA + SP + IP)/(SA + PA + SP + IP + O)  </w:t>
            </w:r>
            <w:r w:rsidRPr="00C74897">
              <w:rPr>
                <w:rFonts w:ascii="Arial" w:hAnsi="Arial" w:cs="Arial"/>
                <w:u w:val="single"/>
                <w:lang w:val="nb-NO"/>
              </w:rPr>
              <w:t>&gt;</w:t>
            </w:r>
            <w:r w:rsidRPr="00C74897">
              <w:rPr>
                <w:rFonts w:ascii="Arial" w:hAnsi="Arial" w:cs="Arial"/>
                <w:lang w:val="nb-NO"/>
              </w:rPr>
              <w:t>90%</w:t>
            </w:r>
          </w:p>
        </w:tc>
      </w:tr>
    </w:tbl>
    <w:p w:rsidR="00F64D43" w:rsidRPr="00F64D43" w:rsidRDefault="00F64D43" w:rsidP="00F64D43">
      <w:pPr>
        <w:pStyle w:val="ListParagraph"/>
        <w:spacing w:after="0" w:line="240" w:lineRule="auto"/>
        <w:ind w:left="-360" w:right="18"/>
        <w:jc w:val="both"/>
        <w:rPr>
          <w:rFonts w:ascii="Arial" w:hAnsi="Arial" w:cs="Arial"/>
          <w:b/>
        </w:rPr>
      </w:pPr>
    </w:p>
    <w:p w:rsidR="00F64D43" w:rsidRPr="00F64D43" w:rsidRDefault="00F64D43" w:rsidP="00F64D43">
      <w:pPr>
        <w:pStyle w:val="ListParagraph"/>
        <w:spacing w:after="0" w:line="240" w:lineRule="auto"/>
        <w:ind w:left="-360" w:right="18"/>
        <w:jc w:val="both"/>
        <w:rPr>
          <w:rFonts w:ascii="Arial" w:hAnsi="Arial" w:cs="Arial"/>
          <w:b/>
        </w:rPr>
      </w:pPr>
    </w:p>
    <w:p w:rsidR="00941CF1" w:rsidRPr="00F64D43" w:rsidRDefault="00941CF1" w:rsidP="00F64D43">
      <w:pPr>
        <w:pStyle w:val="ListParagraph"/>
        <w:numPr>
          <w:ilvl w:val="0"/>
          <w:numId w:val="1"/>
        </w:numPr>
        <w:spacing w:after="0" w:line="240" w:lineRule="auto"/>
        <w:ind w:left="-360" w:right="18"/>
        <w:jc w:val="both"/>
        <w:rPr>
          <w:rFonts w:ascii="Arial" w:hAnsi="Arial" w:cs="Arial"/>
          <w:b/>
        </w:rPr>
      </w:pPr>
      <w:r w:rsidRPr="00F64D43">
        <w:rPr>
          <w:rFonts w:ascii="Arial" w:hAnsi="Arial" w:cs="Arial"/>
        </w:rPr>
        <w:t xml:space="preserve">This summary information is useful in assisting the peer review team in its initial assessment of alignment with Standards 5 and 15. The summary information allows the team to effectively focus its in-depth review of individual faculty vitae or other documents supporting the conclusions presented in the table. List </w:t>
      </w:r>
      <w:r w:rsidRPr="00F64D43">
        <w:rPr>
          <w:rFonts w:ascii="Arial" w:hAnsi="Arial" w:cs="Arial"/>
          <w:u w:val="single"/>
        </w:rPr>
        <w:t>all</w:t>
      </w:r>
      <w:r w:rsidRPr="00F64D43">
        <w:rPr>
          <w:rFonts w:ascii="Arial" w:hAnsi="Arial" w:cs="Arial"/>
        </w:rPr>
        <w:t xml:space="preserve"> faculty contributing to the mission of the school including participating and supporting faculty, graduate students who have formal teaching responsibilities, and administrators holding faculty rank. For faculty not engaged in teaching, leave columns 4 and 5 (Faculty Sufficiency) blank. Faculty who left during the time frame represented in the table should not be included. Faculty members who joined the school for any part of the time frame are to be included. The school must explain the “normal academic year” format/schedule. Peer review teams may request documentation for additional years; for individual terms; or by programs, location, delivery mode, and/or discipline.</w:t>
      </w:r>
    </w:p>
    <w:p w:rsidR="00941CF1" w:rsidRPr="00F64D43" w:rsidRDefault="00941CF1" w:rsidP="00F64D43">
      <w:pPr>
        <w:pStyle w:val="ListParagraph"/>
        <w:numPr>
          <w:ilvl w:val="0"/>
          <w:numId w:val="1"/>
        </w:numPr>
        <w:spacing w:after="0" w:line="240" w:lineRule="auto"/>
        <w:ind w:left="-360"/>
        <w:jc w:val="both"/>
        <w:rPr>
          <w:rFonts w:ascii="Arial" w:hAnsi="Arial" w:cs="Arial"/>
          <w:b/>
        </w:rPr>
      </w:pPr>
      <w:r w:rsidRPr="00F64D43">
        <w:rPr>
          <w:rFonts w:ascii="Arial" w:hAnsi="Arial" w:cs="Arial"/>
        </w:rPr>
        <w:t>The measure of “teaching productivity” must reflect the operations of the business school, e.g., student credit hours (SCHs), European Credit Transfer Units (ECTUs), contact hours, individual courses, modules, or other designations that are appropriately indicative of the teaching contributions of each faculty member. Concurrence of the metric must be reached with the peer review team early in the review process. If a faculty member has no teaching responsibilities, he or she must be listed and reflected in the qualifications part of the table.</w:t>
      </w:r>
    </w:p>
    <w:p w:rsidR="00941CF1" w:rsidRPr="00F64D43" w:rsidRDefault="00941CF1" w:rsidP="00F64D43">
      <w:pPr>
        <w:pStyle w:val="ListParagraph"/>
        <w:numPr>
          <w:ilvl w:val="0"/>
          <w:numId w:val="1"/>
        </w:numPr>
        <w:spacing w:after="0" w:line="240" w:lineRule="auto"/>
        <w:ind w:left="-360"/>
        <w:jc w:val="both"/>
        <w:rPr>
          <w:rFonts w:ascii="Arial" w:hAnsi="Arial" w:cs="Arial"/>
          <w:b/>
        </w:rPr>
      </w:pPr>
      <w:r w:rsidRPr="00F64D43">
        <w:rPr>
          <w:rFonts w:ascii="Arial" w:hAnsi="Arial" w:cs="Arial"/>
        </w:rPr>
        <w:t>Indicate the normal professional responsibilities of each faculty member using the following guide: UT for undergraduate teaching; MT for master’s level teaching; DT for doctoral level teaching/mentoring; ADM for administration; RES for research; ED for executive education; SER for other service and outreach responsibilities. A faculty member may have more than one category assigned. Individuals who teach only in executive education programs should not be listed in this table.</w:t>
      </w:r>
    </w:p>
    <w:p w:rsidR="00941CF1" w:rsidRPr="00F64D43" w:rsidRDefault="00941CF1" w:rsidP="00F64D43">
      <w:pPr>
        <w:pStyle w:val="ListParagraph"/>
        <w:numPr>
          <w:ilvl w:val="0"/>
          <w:numId w:val="1"/>
        </w:numPr>
        <w:spacing w:after="0" w:line="240" w:lineRule="auto"/>
        <w:ind w:left="-360" w:right="18"/>
        <w:jc w:val="both"/>
        <w:rPr>
          <w:rFonts w:ascii="Arial" w:hAnsi="Arial" w:cs="Arial"/>
          <w:b/>
        </w:rPr>
      </w:pPr>
      <w:r w:rsidRPr="00F64D43">
        <w:rPr>
          <w:rFonts w:ascii="Arial" w:hAnsi="Arial" w:cs="Arial"/>
        </w:rPr>
        <w:t>For faculty qualifications based on engagement activities, faculty members may be Scholarly Academic (SA), Practice Academic (PA), Scholarly Practitioner (SP), Instructional Practitioner (IP), or Other (O). Faculty members should be assigned one of these designations based on the school’s criteria for initial qualifications and continuing engagement activities that support currency and relevance in the teaching field and to support other mission components. Faculty may be assigned in more than one category, but must be listed only once. Doctoral students who have obtained ABD status are considered SA or PA (depending on the nature of the doctoral degree) for 3 years. Faculty who have earned a doctoral degree will be considered SA or PA (depending on the nature of the doctoral degree) for 5 years from the date the degree is awarded. The “Other” category should be used for those individuals holding a faculty title but whose qualifications do not meet the criteria established by the school for SA, PA, SP, or IP status.</w:t>
      </w:r>
    </w:p>
    <w:p w:rsidR="00941CF1" w:rsidRPr="00F64D43" w:rsidRDefault="00941CF1" w:rsidP="00F64D43">
      <w:pPr>
        <w:pStyle w:val="ListParagraph"/>
        <w:numPr>
          <w:ilvl w:val="0"/>
          <w:numId w:val="1"/>
        </w:numPr>
        <w:spacing w:after="0" w:line="240" w:lineRule="auto"/>
        <w:ind w:left="-360"/>
        <w:jc w:val="both"/>
        <w:rPr>
          <w:rFonts w:ascii="Arial" w:hAnsi="Arial" w:cs="Arial"/>
          <w:b/>
        </w:rPr>
      </w:pPr>
      <w:r w:rsidRPr="00F64D43">
        <w:rPr>
          <w:rFonts w:ascii="Arial" w:hAnsi="Arial" w:cs="Arial"/>
        </w:rPr>
        <w:t>The “percent of time devoted to mission” reflects each faculty member’s contributions to the school’s overall mission during the period of evaluation. Reasons for less than 100 percent might include part-time employment, shared appointment with another academic unit, or other assignments that make the faculty member partially unavailable to the school. A full-time faculty member’s percent of time devoted to mission is 100 percent. For doctoral students who have formal teaching duties, the percent of time devoted to mission should reflect their teaching duties only and not any other activities associated with their roles as a student, e.g., work on a dissertation. For example, a doctoral student who teaches one class over the normal academic year and a part-time faculty member whose responsibilities are limited to the same level of activity should be assigned the same “percent of time devoted to mission.”</w:t>
      </w:r>
    </w:p>
    <w:p w:rsidR="00A31101" w:rsidRDefault="00F220C9">
      <w:bookmarkStart w:id="0" w:name="_GoBack"/>
      <w:bookmarkEnd w:id="0"/>
    </w:p>
    <w:sectPr w:rsidR="00A31101" w:rsidSect="00941CF1">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0C9" w:rsidRDefault="00F220C9" w:rsidP="00F64D43">
      <w:r>
        <w:separator/>
      </w:r>
    </w:p>
  </w:endnote>
  <w:endnote w:type="continuationSeparator" w:id="0">
    <w:p w:rsidR="00F220C9" w:rsidRDefault="00F220C9" w:rsidP="00F64D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0C9" w:rsidRDefault="00F220C9" w:rsidP="00F64D43">
      <w:r>
        <w:separator/>
      </w:r>
    </w:p>
  </w:footnote>
  <w:footnote w:type="continuationSeparator" w:id="0">
    <w:p w:rsidR="00F220C9" w:rsidRDefault="00F220C9" w:rsidP="00F64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D43" w:rsidRDefault="007E01E5" w:rsidP="00F64D43">
    <w:pPr>
      <w:pStyle w:val="Header"/>
      <w:ind w:left="4770"/>
    </w:pPr>
    <w:r>
      <w:rPr>
        <w:noProof/>
      </w:rPr>
      <w:pict>
        <v:rect id="_x0000_s3073" style="position:absolute;left:0;text-align:left;margin-left:-58.95pt;margin-top:-21.8pt;width:209.8pt;height:52.95pt;z-index:251658240" filled="f" stroked="f">
          <v:textbox style="mso-next-textbox:#_x0000_s3073">
            <w:txbxContent>
              <w:p w:rsidR="00F64D43" w:rsidRPr="00FC5224" w:rsidRDefault="00F64D43" w:rsidP="00F64D43">
                <w:pPr>
                  <w:rPr>
                    <w:rFonts w:ascii="Sakkal Majalla" w:hAnsi="Sakkal Majalla" w:cs="Sakkal Majalla"/>
                    <w:b/>
                    <w:bCs/>
                    <w:color w:val="000000"/>
                    <w:sz w:val="22"/>
                    <w:szCs w:val="22"/>
                  </w:rPr>
                </w:pPr>
                <w:r w:rsidRPr="00FC5224">
                  <w:rPr>
                    <w:rFonts w:ascii="Sakkal Majalla" w:hAnsi="Sakkal Majalla" w:cs="Sakkal Majalla"/>
                    <w:b/>
                    <w:bCs/>
                    <w:color w:val="000000"/>
                    <w:sz w:val="22"/>
                    <w:szCs w:val="22"/>
                  </w:rPr>
                  <w:t>Kingdom of Saudi Arabia</w:t>
                </w:r>
              </w:p>
              <w:p w:rsidR="00F64D43" w:rsidRPr="00FC5224" w:rsidRDefault="00F64D43" w:rsidP="00F64D43">
                <w:pPr>
                  <w:rPr>
                    <w:rFonts w:ascii="Sakkal Majalla" w:hAnsi="Sakkal Majalla" w:cs="Sakkal Majalla"/>
                    <w:b/>
                    <w:bCs/>
                    <w:color w:val="000000"/>
                    <w:sz w:val="22"/>
                    <w:szCs w:val="22"/>
                  </w:rPr>
                </w:pPr>
                <w:r w:rsidRPr="00FC5224">
                  <w:rPr>
                    <w:rFonts w:ascii="Sakkal Majalla" w:hAnsi="Sakkal Majalla" w:cs="Sakkal Majalla"/>
                    <w:b/>
                    <w:bCs/>
                    <w:color w:val="000000"/>
                    <w:sz w:val="22"/>
                    <w:szCs w:val="22"/>
                  </w:rPr>
                  <w:t>Ministry of Education KSU- CBA</w:t>
                </w:r>
              </w:p>
              <w:p w:rsidR="00F64D43" w:rsidRPr="00FC5224" w:rsidRDefault="00F64D43" w:rsidP="00F64D43">
                <w:pPr>
                  <w:rPr>
                    <w:rFonts w:ascii="Sakkal Majalla" w:hAnsi="Sakkal Majalla" w:cs="Sakkal Majalla"/>
                    <w:b/>
                    <w:bCs/>
                    <w:color w:val="000000"/>
                    <w:sz w:val="22"/>
                    <w:szCs w:val="22"/>
                  </w:rPr>
                </w:pPr>
                <w:r w:rsidRPr="00FC5224">
                  <w:rPr>
                    <w:rFonts w:ascii="Sakkal Majalla" w:hAnsi="Sakkal Majalla" w:cs="Sakkal Majalla"/>
                    <w:b/>
                    <w:bCs/>
                    <w:color w:val="000000"/>
                    <w:sz w:val="22"/>
                    <w:szCs w:val="22"/>
                  </w:rPr>
                  <w:t>Vice Deanship for Quality and Development</w:t>
                </w:r>
              </w:p>
            </w:txbxContent>
          </v:textbox>
        </v:rect>
      </w:pict>
    </w:r>
    <w:r>
      <w:rPr>
        <w:noProof/>
      </w:rPr>
      <w:pict>
        <v:rect id="_x0000_s3076" style="position:absolute;left:0;text-align:left;margin-left:506.05pt;margin-top:-24pt;width:175.7pt;height:55.15pt;z-index:251659264" filled="f" stroked="f">
          <v:textbox style="mso-next-textbox:#_x0000_s3076">
            <w:txbxContent>
              <w:p w:rsidR="00FC5224" w:rsidRPr="006508E4" w:rsidRDefault="00FC5224" w:rsidP="00FC5224">
                <w:pPr>
                  <w:jc w:val="right"/>
                  <w:rPr>
                    <w:rFonts w:ascii="Sakkal Majalla" w:hAnsi="Sakkal Majalla" w:cs="Sakkal Majalla"/>
                    <w:b/>
                    <w:bCs/>
                    <w:color w:val="000000"/>
                    <w:sz w:val="22"/>
                    <w:szCs w:val="22"/>
                  </w:rPr>
                </w:pPr>
                <w:r w:rsidRPr="006508E4">
                  <w:rPr>
                    <w:rFonts w:ascii="Sakkal Majalla" w:hAnsi="Sakkal Majalla" w:cs="Sakkal Majalla"/>
                    <w:b/>
                    <w:bCs/>
                    <w:color w:val="000000"/>
                    <w:sz w:val="22"/>
                    <w:szCs w:val="22"/>
                    <w:rtl/>
                  </w:rPr>
                  <w:t>المملكــة العربيــة السعوديــة</w:t>
                </w:r>
              </w:p>
              <w:p w:rsidR="00FC5224" w:rsidRPr="006508E4" w:rsidRDefault="00FC5224" w:rsidP="00FC5224">
                <w:pPr>
                  <w:jc w:val="right"/>
                  <w:rPr>
                    <w:rFonts w:ascii="Sakkal Majalla" w:hAnsi="Sakkal Majalla" w:cs="Sakkal Majalla"/>
                    <w:b/>
                    <w:bCs/>
                    <w:color w:val="000000"/>
                    <w:sz w:val="22"/>
                    <w:szCs w:val="22"/>
                    <w:rtl/>
                  </w:rPr>
                </w:pPr>
                <w:r w:rsidRPr="006508E4">
                  <w:rPr>
                    <w:rFonts w:ascii="Sakkal Majalla" w:hAnsi="Sakkal Majalla" w:cs="Sakkal Majalla"/>
                    <w:b/>
                    <w:bCs/>
                    <w:color w:val="000000"/>
                    <w:sz w:val="22"/>
                    <w:szCs w:val="22"/>
                    <w:rtl/>
                  </w:rPr>
                  <w:t>وزارة التعليم – جامعة الملك سعود</w:t>
                </w:r>
              </w:p>
              <w:p w:rsidR="00FC5224" w:rsidRPr="006508E4" w:rsidRDefault="00FC5224" w:rsidP="00FC5224">
                <w:pPr>
                  <w:jc w:val="right"/>
                  <w:rPr>
                    <w:rFonts w:ascii="Sakkal Majalla" w:hAnsi="Sakkal Majalla" w:cs="Sakkal Majalla"/>
                    <w:b/>
                    <w:bCs/>
                    <w:color w:val="000000"/>
                    <w:sz w:val="22"/>
                    <w:szCs w:val="22"/>
                  </w:rPr>
                </w:pPr>
                <w:r w:rsidRPr="006508E4">
                  <w:rPr>
                    <w:rFonts w:ascii="Sakkal Majalla" w:hAnsi="Sakkal Majalla" w:cs="Sakkal Majalla"/>
                    <w:b/>
                    <w:bCs/>
                    <w:color w:val="000000"/>
                    <w:sz w:val="22"/>
                    <w:szCs w:val="22"/>
                    <w:rtl/>
                  </w:rPr>
                  <w:t>كلية ادارة الأعمال- وكالة الكلية للتطوير والجودة</w:t>
                </w:r>
              </w:p>
            </w:txbxContent>
          </v:textbox>
        </v:rect>
      </w:pict>
    </w:r>
    <w:r w:rsidR="00F64D43">
      <w:rPr>
        <w:noProof/>
      </w:rPr>
      <w:drawing>
        <wp:inline distT="0" distB="0" distL="0" distR="0">
          <wp:extent cx="1857375" cy="542925"/>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1"/>
                  <a:srcRect/>
                  <a:stretch>
                    <a:fillRect/>
                  </a:stretch>
                </pic:blipFill>
                <pic:spPr bwMode="auto">
                  <a:xfrm>
                    <a:off x="0" y="0"/>
                    <a:ext cx="1857375" cy="542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7598"/>
    <w:multiLevelType w:val="hybridMultilevel"/>
    <w:tmpl w:val="550E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D4145"/>
    <w:multiLevelType w:val="hybridMultilevel"/>
    <w:tmpl w:val="6AB8787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
    <w:nsid w:val="6D3D06FB"/>
    <w:multiLevelType w:val="hybridMultilevel"/>
    <w:tmpl w:val="EA7C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941CF1"/>
    <w:rsid w:val="00184027"/>
    <w:rsid w:val="001C5170"/>
    <w:rsid w:val="002F4B28"/>
    <w:rsid w:val="00313CFE"/>
    <w:rsid w:val="007E01E5"/>
    <w:rsid w:val="00941CF1"/>
    <w:rsid w:val="009A2496"/>
    <w:rsid w:val="00C55EED"/>
    <w:rsid w:val="00D9324B"/>
    <w:rsid w:val="00F220C9"/>
    <w:rsid w:val="00F64D43"/>
    <w:rsid w:val="00F96D8E"/>
    <w:rsid w:val="00FA7D34"/>
    <w:rsid w:val="00FC1953"/>
    <w:rsid w:val="00FC52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CF1"/>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1C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64D43"/>
    <w:pPr>
      <w:tabs>
        <w:tab w:val="center" w:pos="4320"/>
        <w:tab w:val="right" w:pos="8640"/>
      </w:tabs>
    </w:pPr>
  </w:style>
  <w:style w:type="character" w:customStyle="1" w:styleId="HeaderChar">
    <w:name w:val="Header Char"/>
    <w:basedOn w:val="DefaultParagraphFont"/>
    <w:link w:val="Header"/>
    <w:uiPriority w:val="99"/>
    <w:semiHidden/>
    <w:rsid w:val="00F64D4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4D43"/>
    <w:pPr>
      <w:tabs>
        <w:tab w:val="center" w:pos="4320"/>
        <w:tab w:val="right" w:pos="8640"/>
      </w:tabs>
    </w:pPr>
  </w:style>
  <w:style w:type="character" w:customStyle="1" w:styleId="FooterChar">
    <w:name w:val="Footer Char"/>
    <w:basedOn w:val="DefaultParagraphFont"/>
    <w:link w:val="Footer"/>
    <w:uiPriority w:val="99"/>
    <w:semiHidden/>
    <w:rsid w:val="00F64D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4D43"/>
    <w:rPr>
      <w:rFonts w:ascii="Tahoma" w:hAnsi="Tahoma" w:cs="Tahoma"/>
      <w:sz w:val="16"/>
      <w:szCs w:val="16"/>
    </w:rPr>
  </w:style>
  <w:style w:type="character" w:customStyle="1" w:styleId="BalloonTextChar">
    <w:name w:val="Balloon Text Char"/>
    <w:basedOn w:val="DefaultParagraphFont"/>
    <w:link w:val="BalloonText"/>
    <w:uiPriority w:val="99"/>
    <w:semiHidden/>
    <w:rsid w:val="00F64D4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AACSB International</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Washburn</dc:creator>
  <cp:lastModifiedBy>Development</cp:lastModifiedBy>
  <cp:revision>5</cp:revision>
  <cp:lastPrinted>2017-09-10T09:40:00Z</cp:lastPrinted>
  <dcterms:created xsi:type="dcterms:W3CDTF">2017-09-10T09:51:00Z</dcterms:created>
  <dcterms:modified xsi:type="dcterms:W3CDTF">2017-09-10T10:51:00Z</dcterms:modified>
</cp:coreProperties>
</file>